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928E4" w14:textId="77777777" w:rsidR="00B7366C" w:rsidRDefault="00B7366C">
      <w:bookmarkStart w:id="0" w:name="_GoBack"/>
      <w:bookmarkEnd w:id="0"/>
    </w:p>
    <w:tbl>
      <w:tblPr>
        <w:tblStyle w:val="TableGrid"/>
        <w:tblW w:w="144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6840"/>
      </w:tblGrid>
      <w:tr w:rsidR="00D81CBB" w:rsidRPr="00E101EF" w14:paraId="7B4A2C1E" w14:textId="77777777" w:rsidTr="001B0371">
        <w:tc>
          <w:tcPr>
            <w:tcW w:w="7655" w:type="dxa"/>
          </w:tcPr>
          <w:p w14:paraId="5445DDE1" w14:textId="77777777" w:rsidR="007A5D12" w:rsidRPr="007A7D18" w:rsidRDefault="007A5D12" w:rsidP="008B68B8">
            <w:pPr>
              <w:ind w:right="525"/>
              <w:rPr>
                <w:rFonts w:ascii="Century Gothic" w:hAnsi="Century Gothic"/>
                <w:b/>
                <w:sz w:val="36"/>
                <w:szCs w:val="36"/>
              </w:rPr>
            </w:pPr>
            <w:r w:rsidRPr="007A7D18">
              <w:rPr>
                <w:rFonts w:ascii="Century Gothic" w:hAnsi="Century Gothic"/>
                <w:b/>
                <w:sz w:val="36"/>
                <w:szCs w:val="36"/>
              </w:rPr>
              <w:t>Federal &amp; State Funding</w:t>
            </w:r>
          </w:p>
          <w:p w14:paraId="0627167C" w14:textId="77777777" w:rsidR="007A5D12" w:rsidRPr="00334AC1" w:rsidRDefault="007A5D12" w:rsidP="008B68B8">
            <w:pPr>
              <w:ind w:right="52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Education is funded primarily at the state level. Federal funding is for special programs.</w:t>
            </w:r>
          </w:p>
          <w:p w14:paraId="24964D58" w14:textId="77777777" w:rsidR="007A5D12" w:rsidRPr="00334AC1" w:rsidRDefault="007A5D12" w:rsidP="008B68B8">
            <w:pPr>
              <w:ind w:right="525"/>
              <w:rPr>
                <w:rFonts w:ascii="Century Gothic" w:hAnsi="Century Gothic"/>
              </w:rPr>
            </w:pPr>
          </w:p>
          <w:p w14:paraId="3521E895" w14:textId="77777777" w:rsidR="007A5D12" w:rsidRPr="00334AC1" w:rsidRDefault="007A5D12" w:rsidP="008B68B8">
            <w:pPr>
              <w:ind w:right="52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  <w:b/>
              </w:rPr>
              <w:t>Federal funds</w:t>
            </w:r>
            <w:r w:rsidRPr="00334AC1">
              <w:rPr>
                <w:rFonts w:ascii="Century Gothic" w:hAnsi="Century Gothic"/>
              </w:rPr>
              <w:t xml:space="preserve"> comprise approx. 2% of District revenue. This money funds supplemental special education programs, Head Start, Title I, and free &amp; reduced lunches in the food service program. Federal revenue may </w:t>
            </w:r>
            <w:r w:rsidRPr="00334AC1">
              <w:rPr>
                <w:rFonts w:ascii="Century Gothic" w:hAnsi="Century Gothic"/>
                <w:u w:val="single"/>
              </w:rPr>
              <w:t>only</w:t>
            </w:r>
            <w:r w:rsidRPr="00334AC1">
              <w:rPr>
                <w:rFonts w:ascii="Century Gothic" w:hAnsi="Century Gothic"/>
              </w:rPr>
              <w:t xml:space="preserve"> be used for its specific program purpose.</w:t>
            </w:r>
          </w:p>
          <w:p w14:paraId="70E47E22" w14:textId="77777777" w:rsidR="007A5D12" w:rsidRPr="00334AC1" w:rsidRDefault="007A5D12" w:rsidP="008B68B8">
            <w:pPr>
              <w:ind w:left="720" w:right="525"/>
              <w:rPr>
                <w:rFonts w:ascii="Century Gothic" w:hAnsi="Century Gothic"/>
                <w:b/>
              </w:rPr>
            </w:pPr>
          </w:p>
          <w:p w14:paraId="08C7CEAC" w14:textId="5D72306D" w:rsidR="007A5D12" w:rsidRPr="00334AC1" w:rsidRDefault="007A5D12" w:rsidP="008B68B8">
            <w:pPr>
              <w:ind w:right="52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  <w:b/>
              </w:rPr>
              <w:t>State funding</w:t>
            </w:r>
            <w:r w:rsidRPr="00334AC1">
              <w:rPr>
                <w:rFonts w:ascii="Century Gothic" w:hAnsi="Century Gothic"/>
              </w:rPr>
              <w:t xml:space="preserve"> comprises more than 70% of District revenue. This money primarily funds the salaries of teachers, counselors, librarians, principals, educational assistants, and other support staff</w:t>
            </w:r>
            <w:r w:rsidR="00334AC1">
              <w:rPr>
                <w:rFonts w:ascii="Century Gothic" w:hAnsi="Century Gothic"/>
              </w:rPr>
              <w:t xml:space="preserve">. </w:t>
            </w:r>
            <w:r w:rsidRPr="00334AC1">
              <w:rPr>
                <w:rFonts w:ascii="Century Gothic" w:hAnsi="Century Gothic"/>
              </w:rPr>
              <w:t xml:space="preserve"> </w:t>
            </w:r>
            <w:r w:rsidR="00334AC1">
              <w:rPr>
                <w:rFonts w:ascii="Century Gothic" w:hAnsi="Century Gothic"/>
              </w:rPr>
              <w:t>It</w:t>
            </w:r>
            <w:r w:rsidRPr="00334AC1">
              <w:rPr>
                <w:rFonts w:ascii="Century Gothic" w:hAnsi="Century Gothic"/>
              </w:rPr>
              <w:t xml:space="preserve"> pays for classroom expenses, teaching supplies, materials, textbooks, staff development, curriculum development, and technology support.</w:t>
            </w:r>
          </w:p>
          <w:p w14:paraId="6E5E1626" w14:textId="4E4F6B97" w:rsidR="00B1548B" w:rsidRPr="00E101EF" w:rsidRDefault="00B1548B" w:rsidP="008B68B8">
            <w:pPr>
              <w:ind w:right="525"/>
              <w:rPr>
                <w:rFonts w:ascii="Century Gothic" w:hAnsi="Century Gothic"/>
              </w:rPr>
            </w:pPr>
          </w:p>
        </w:tc>
        <w:tc>
          <w:tcPr>
            <w:tcW w:w="6840" w:type="dxa"/>
          </w:tcPr>
          <w:p w14:paraId="1144BFB3" w14:textId="77777777" w:rsidR="007A5D12" w:rsidRPr="007A7D18" w:rsidRDefault="007A5D12" w:rsidP="00F34437">
            <w:pPr>
              <w:ind w:left="345"/>
              <w:rPr>
                <w:rFonts w:ascii="Century Gothic" w:hAnsi="Century Gothic"/>
                <w:b/>
                <w:sz w:val="36"/>
                <w:szCs w:val="36"/>
              </w:rPr>
            </w:pPr>
            <w:r w:rsidRPr="007A7D18">
              <w:rPr>
                <w:rFonts w:ascii="Century Gothic" w:hAnsi="Century Gothic"/>
                <w:b/>
                <w:sz w:val="36"/>
                <w:szCs w:val="36"/>
              </w:rPr>
              <w:t>Local Funding/Bonds &amp; Levies</w:t>
            </w:r>
          </w:p>
          <w:p w14:paraId="263A7899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Bonds and Levies are approved by voters. They provide for approx. 15% of the District’s budget. Bonds and Levies exist because state funding doesn’t cover everything needed for a fast-growing district.</w:t>
            </w:r>
          </w:p>
          <w:p w14:paraId="2B977E65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  <w:b/>
              </w:rPr>
            </w:pPr>
          </w:p>
          <w:p w14:paraId="7C37EEA3" w14:textId="05DAAE51" w:rsidR="007A5D12" w:rsidRPr="00334AC1" w:rsidRDefault="007A5D12" w:rsidP="00F34437">
            <w:pPr>
              <w:ind w:left="345"/>
              <w:rPr>
                <w:rFonts w:ascii="Century Gothic" w:hAnsi="Century Gothic"/>
                <w:b/>
              </w:rPr>
            </w:pPr>
            <w:r w:rsidRPr="00334AC1">
              <w:rPr>
                <w:rFonts w:ascii="Century Gothic" w:hAnsi="Century Gothic"/>
                <w:b/>
              </w:rPr>
              <w:t xml:space="preserve">Bonds </w:t>
            </w:r>
            <w:r w:rsidRPr="00334AC1">
              <w:rPr>
                <w:rFonts w:ascii="Century Gothic" w:hAnsi="Century Gothic"/>
              </w:rPr>
              <w:t>are used to pay for:</w:t>
            </w:r>
          </w:p>
          <w:p w14:paraId="08CADFC0" w14:textId="77777777" w:rsidR="007A5D12" w:rsidRPr="00334AC1" w:rsidRDefault="007A5D12" w:rsidP="00F34437">
            <w:pPr>
              <w:pStyle w:val="ListParagraph"/>
              <w:numPr>
                <w:ilvl w:val="0"/>
                <w:numId w:val="9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Acquisition of property</w:t>
            </w:r>
          </w:p>
          <w:p w14:paraId="69F67807" w14:textId="77777777" w:rsidR="007A5D12" w:rsidRPr="00334AC1" w:rsidRDefault="007A5D12" w:rsidP="00F34437">
            <w:pPr>
              <w:pStyle w:val="ListParagraph"/>
              <w:numPr>
                <w:ilvl w:val="0"/>
                <w:numId w:val="9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Capital Projects, school modernization</w:t>
            </w:r>
          </w:p>
          <w:p w14:paraId="2F6795FC" w14:textId="77777777" w:rsidR="007A5D12" w:rsidRPr="00334AC1" w:rsidRDefault="007A5D12" w:rsidP="00F34437">
            <w:pPr>
              <w:pStyle w:val="ListParagraph"/>
              <w:numPr>
                <w:ilvl w:val="0"/>
                <w:numId w:val="9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New Construction</w:t>
            </w:r>
          </w:p>
          <w:p w14:paraId="33F1BE89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</w:p>
          <w:p w14:paraId="5C276D60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  <w:b/>
              </w:rPr>
              <w:t>Levies</w:t>
            </w:r>
            <w:r w:rsidRPr="00334AC1">
              <w:rPr>
                <w:rFonts w:ascii="Century Gothic" w:hAnsi="Century Gothic"/>
              </w:rPr>
              <w:t xml:space="preserve"> are used to pay for:</w:t>
            </w:r>
          </w:p>
          <w:p w14:paraId="6F9BF362" w14:textId="77777777" w:rsidR="007A5D12" w:rsidRPr="00334AC1" w:rsidRDefault="007A5D12" w:rsidP="00F34437">
            <w:pPr>
              <w:pStyle w:val="ListParagraph"/>
              <w:numPr>
                <w:ilvl w:val="0"/>
                <w:numId w:val="10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Maintenance</w:t>
            </w:r>
          </w:p>
          <w:p w14:paraId="4CD4EBF0" w14:textId="77777777" w:rsidR="007A5D12" w:rsidRPr="00334AC1" w:rsidRDefault="007A5D12" w:rsidP="00F34437">
            <w:pPr>
              <w:pStyle w:val="ListParagraph"/>
              <w:numPr>
                <w:ilvl w:val="0"/>
                <w:numId w:val="10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Supplemental funding of salaries</w:t>
            </w:r>
          </w:p>
          <w:p w14:paraId="0122B462" w14:textId="77777777" w:rsidR="007A5D12" w:rsidRPr="00334AC1" w:rsidRDefault="007A5D12" w:rsidP="00F34437">
            <w:pPr>
              <w:pStyle w:val="ListParagraph"/>
              <w:numPr>
                <w:ilvl w:val="0"/>
                <w:numId w:val="10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Textbook/curriculum funding</w:t>
            </w:r>
          </w:p>
          <w:p w14:paraId="5FBD52C7" w14:textId="0BFCED27" w:rsidR="007A5D12" w:rsidRPr="00334AC1" w:rsidRDefault="007A5D12" w:rsidP="00F34437">
            <w:pPr>
              <w:pStyle w:val="ListParagraph"/>
              <w:numPr>
                <w:ilvl w:val="0"/>
                <w:numId w:val="10"/>
              </w:numPr>
              <w:ind w:left="345" w:firstLine="0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>Transportation</w:t>
            </w:r>
          </w:p>
          <w:p w14:paraId="369E8B13" w14:textId="589E6214" w:rsidR="00E101EF" w:rsidRPr="00E101EF" w:rsidRDefault="00EA593B" w:rsidP="00F34437">
            <w:pPr>
              <w:ind w:left="345"/>
              <w:rPr>
                <w:rFonts w:ascii="Century Gothic" w:hAnsi="Century Gothic"/>
              </w:rPr>
            </w:pPr>
            <w:hyperlink r:id="rId11" w:history="1"/>
          </w:p>
        </w:tc>
      </w:tr>
      <w:tr w:rsidR="00D81CBB" w:rsidRPr="00E101EF" w14:paraId="730F8479" w14:textId="77777777" w:rsidTr="001B0371">
        <w:tc>
          <w:tcPr>
            <w:tcW w:w="7655" w:type="dxa"/>
          </w:tcPr>
          <w:p w14:paraId="2BF92B9A" w14:textId="77777777" w:rsidR="007A5D12" w:rsidRPr="007A7D18" w:rsidRDefault="007A5D12" w:rsidP="008B68B8">
            <w:pPr>
              <w:ind w:right="525"/>
              <w:rPr>
                <w:rFonts w:ascii="Century Gothic" w:hAnsi="Century Gothic"/>
                <w:b/>
                <w:sz w:val="36"/>
                <w:szCs w:val="36"/>
              </w:rPr>
            </w:pPr>
            <w:r w:rsidRPr="007A7D18">
              <w:rPr>
                <w:rFonts w:ascii="Century Gothic" w:hAnsi="Century Gothic"/>
                <w:b/>
                <w:sz w:val="36"/>
                <w:szCs w:val="36"/>
              </w:rPr>
              <w:t>Issaquah Schools Foundation</w:t>
            </w:r>
          </w:p>
          <w:p w14:paraId="13F09E76" w14:textId="240A38FD" w:rsidR="009A647A" w:rsidRPr="00334AC1" w:rsidRDefault="00425CAB" w:rsidP="008B68B8">
            <w:p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Donations to the Issaquah Schools </w:t>
            </w:r>
            <w:r w:rsidRPr="00334AC1">
              <w:rPr>
                <w:rFonts w:ascii="Century Gothic" w:hAnsi="Century Gothic"/>
              </w:rPr>
              <w:t xml:space="preserve">Foundation </w:t>
            </w:r>
            <w:r>
              <w:rPr>
                <w:rFonts w:ascii="Century Gothic" w:hAnsi="Century Gothic"/>
              </w:rPr>
              <w:t xml:space="preserve">allow </w:t>
            </w:r>
            <w:r w:rsidR="001B57D6">
              <w:rPr>
                <w:rFonts w:ascii="Century Gothic" w:hAnsi="Century Gothic"/>
              </w:rPr>
              <w:t xml:space="preserve">for </w:t>
            </w:r>
            <w:r w:rsidRPr="000075E9">
              <w:rPr>
                <w:rFonts w:ascii="Century Gothic" w:hAnsi="Century Gothic"/>
              </w:rPr>
              <w:t>provid</w:t>
            </w:r>
            <w:r w:rsidR="001B57D6">
              <w:rPr>
                <w:rFonts w:ascii="Century Gothic" w:hAnsi="Century Gothic"/>
              </w:rPr>
              <w:t>ing</w:t>
            </w:r>
            <w:r w:rsidRPr="000075E9">
              <w:rPr>
                <w:rFonts w:ascii="Century Gothic" w:hAnsi="Century Gothic"/>
              </w:rPr>
              <w:t xml:space="preserve"> </w:t>
            </w:r>
            <w:r w:rsidRPr="00331641">
              <w:rPr>
                <w:rFonts w:ascii="Century Gothic" w:hAnsi="Century Gothic"/>
                <w:u w:val="single"/>
              </w:rPr>
              <w:t>district-wide</w:t>
            </w:r>
            <w:r w:rsidRPr="000075E9">
              <w:rPr>
                <w:rFonts w:ascii="Century Gothic" w:hAnsi="Century Gothic"/>
              </w:rPr>
              <w:t xml:space="preserve"> funding that helps ALL students. While state funding provides for salaries and other basics for the classroom, there are many essential programs that cannot be fun</w:t>
            </w:r>
            <w:r>
              <w:rPr>
                <w:rFonts w:ascii="Century Gothic" w:hAnsi="Century Gothic"/>
              </w:rPr>
              <w:t>ded with</w:t>
            </w:r>
            <w:r w:rsidRPr="00334AC1">
              <w:rPr>
                <w:rFonts w:ascii="Century Gothic" w:hAnsi="Century Gothic"/>
              </w:rPr>
              <w:t xml:space="preserve"> tax dollars – and many other </w:t>
            </w:r>
            <w:r>
              <w:rPr>
                <w:rFonts w:ascii="Century Gothic" w:hAnsi="Century Gothic"/>
              </w:rPr>
              <w:t xml:space="preserve">areas where </w:t>
            </w:r>
            <w:r w:rsidR="00897965">
              <w:rPr>
                <w:rFonts w:ascii="Century Gothic" w:hAnsi="Century Gothic"/>
              </w:rPr>
              <w:t>the Foundation</w:t>
            </w:r>
            <w:r>
              <w:rPr>
                <w:rFonts w:ascii="Century Gothic" w:hAnsi="Century Gothic"/>
              </w:rPr>
              <w:t xml:space="preserve"> support</w:t>
            </w:r>
            <w:r w:rsidR="00897965">
              <w:rPr>
                <w:rFonts w:ascii="Century Gothic" w:hAnsi="Century Gothic"/>
              </w:rPr>
              <w:t>s</w:t>
            </w:r>
            <w:r>
              <w:rPr>
                <w:rFonts w:ascii="Century Gothic" w:hAnsi="Century Gothic"/>
              </w:rPr>
              <w:t xml:space="preserve"> students and teachers </w:t>
            </w:r>
            <w:r w:rsidR="00504C77">
              <w:rPr>
                <w:rFonts w:ascii="Century Gothic" w:hAnsi="Century Gothic"/>
              </w:rPr>
              <w:t>to make</w:t>
            </w:r>
            <w:r w:rsidR="00CC6300" w:rsidRPr="00334AC1">
              <w:rPr>
                <w:rFonts w:ascii="Century Gothic" w:hAnsi="Century Gothic"/>
              </w:rPr>
              <w:t xml:space="preserve"> high-quality education and essential support available to every student in every school.</w:t>
            </w:r>
          </w:p>
          <w:p w14:paraId="07D72DBD" w14:textId="77777777" w:rsidR="007A5D12" w:rsidRDefault="007A5D12" w:rsidP="008B68B8">
            <w:pPr>
              <w:ind w:right="525"/>
              <w:rPr>
                <w:rFonts w:ascii="Century Gothic" w:hAnsi="Century Gothic"/>
              </w:rPr>
            </w:pPr>
          </w:p>
          <w:p w14:paraId="65026C06" w14:textId="77777777" w:rsidR="007A5D12" w:rsidRDefault="007A5D12" w:rsidP="008B68B8">
            <w:p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Foundation funding examples include:</w:t>
            </w:r>
          </w:p>
          <w:p w14:paraId="28F6FD25" w14:textId="0552ED70" w:rsidR="007A5D12" w:rsidRPr="00802D8D" w:rsidRDefault="007A5D12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 w:rsidRPr="00B1548B">
              <w:rPr>
                <w:rFonts w:ascii="Century Gothic" w:hAnsi="Century Gothic"/>
              </w:rPr>
              <w:t xml:space="preserve">After school homework labs </w:t>
            </w:r>
            <w:r w:rsidR="00802D8D">
              <w:rPr>
                <w:rFonts w:ascii="Century Gothic" w:hAnsi="Century Gothic"/>
              </w:rPr>
              <w:t xml:space="preserve">&amp; </w:t>
            </w:r>
            <w:r w:rsidR="00802D8D" w:rsidRPr="00802D8D">
              <w:rPr>
                <w:rFonts w:ascii="Century Gothic" w:hAnsi="Century Gothic"/>
              </w:rPr>
              <w:t>assistance</w:t>
            </w:r>
            <w:r w:rsidR="00241645">
              <w:rPr>
                <w:rFonts w:ascii="Century Gothic" w:hAnsi="Century Gothic"/>
              </w:rPr>
              <w:t xml:space="preserve"> </w:t>
            </w:r>
          </w:p>
          <w:p w14:paraId="265A3B8D" w14:textId="77777777" w:rsidR="007A5D12" w:rsidRPr="00B1548B" w:rsidRDefault="007A5D12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 w:rsidRPr="00B1548B">
              <w:rPr>
                <w:rFonts w:ascii="Century Gothic" w:hAnsi="Century Gothic"/>
              </w:rPr>
              <w:t>Food support and school supplies for students who need financial assistance</w:t>
            </w:r>
          </w:p>
          <w:p w14:paraId="6EAB5228" w14:textId="038E01C2" w:rsidR="007A5D12" w:rsidRDefault="007A5D12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 w:rsidRPr="00B1548B">
              <w:rPr>
                <w:rFonts w:ascii="Century Gothic" w:hAnsi="Century Gothic"/>
              </w:rPr>
              <w:t>Fine arts fund –</w:t>
            </w:r>
            <w:r>
              <w:rPr>
                <w:rFonts w:ascii="Century Gothic" w:hAnsi="Century Gothic"/>
              </w:rPr>
              <w:t xml:space="preserve"> supporting </w:t>
            </w:r>
            <w:r w:rsidRPr="00B1548B">
              <w:rPr>
                <w:rFonts w:ascii="Century Gothic" w:hAnsi="Century Gothic"/>
              </w:rPr>
              <w:t>Band, Orchestra, Choir/Theater, and visual arts programs</w:t>
            </w:r>
          </w:p>
          <w:p w14:paraId="5DAED913" w14:textId="0394DCCA" w:rsidR="00F93A7D" w:rsidRDefault="00F93A7D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Grants for teachers</w:t>
            </w:r>
            <w:r w:rsidR="00EB4E42">
              <w:rPr>
                <w:rFonts w:ascii="Century Gothic" w:hAnsi="Century Gothic"/>
              </w:rPr>
              <w:t xml:space="preserve"> district wide</w:t>
            </w:r>
          </w:p>
          <w:p w14:paraId="72D38A87" w14:textId="7B27AD7B" w:rsidR="00F93A7D" w:rsidRDefault="00F93A7D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Innovation </w:t>
            </w:r>
            <w:r w:rsidR="00802D8D">
              <w:rPr>
                <w:rFonts w:ascii="Century Gothic" w:hAnsi="Century Gothic"/>
              </w:rPr>
              <w:t>opportunities</w:t>
            </w:r>
          </w:p>
          <w:p w14:paraId="04598949" w14:textId="0E22E359" w:rsidR="00F93A7D" w:rsidRDefault="00F93A7D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Mental health education</w:t>
            </w:r>
          </w:p>
          <w:p w14:paraId="6B788514" w14:textId="5B86AF70" w:rsidR="00802D8D" w:rsidRDefault="00802D8D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Professional Development for Teachers</w:t>
            </w:r>
          </w:p>
          <w:p w14:paraId="4FEAB064" w14:textId="1CD8FB9F" w:rsidR="007A5D12" w:rsidRPr="007A5D12" w:rsidRDefault="007A5D12" w:rsidP="008B68B8">
            <w:pPr>
              <w:pStyle w:val="ListParagraph"/>
              <w:numPr>
                <w:ilvl w:val="0"/>
                <w:numId w:val="4"/>
              </w:numPr>
              <w:ind w:right="525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Robotics, coding and STEM clubs</w:t>
            </w:r>
          </w:p>
          <w:p w14:paraId="797DBD19" w14:textId="77777777" w:rsidR="007A5D12" w:rsidRDefault="007A5D12" w:rsidP="008B68B8">
            <w:pPr>
              <w:ind w:right="525"/>
              <w:rPr>
                <w:rFonts w:ascii="Century Gothic" w:hAnsi="Century Gothic"/>
              </w:rPr>
            </w:pPr>
          </w:p>
          <w:p w14:paraId="2A2368B6" w14:textId="04B79110" w:rsidR="00AC206B" w:rsidRPr="007A5D12" w:rsidRDefault="00EA593B" w:rsidP="008B68B8">
            <w:pPr>
              <w:ind w:left="360" w:right="525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7A5D12" w:rsidRPr="00A9682F">
                <w:rPr>
                  <w:rStyle w:val="Hyperlink"/>
                  <w:rFonts w:ascii="Century Gothic" w:hAnsi="Century Gothic"/>
                </w:rPr>
                <w:t>http://isfdn.org</w:t>
              </w:r>
            </w:hyperlink>
          </w:p>
        </w:tc>
        <w:tc>
          <w:tcPr>
            <w:tcW w:w="6840" w:type="dxa"/>
          </w:tcPr>
          <w:p w14:paraId="11991EEF" w14:textId="77777777" w:rsidR="007A5D12" w:rsidRPr="007A7D18" w:rsidRDefault="007A5D12" w:rsidP="00F34437">
            <w:pPr>
              <w:ind w:left="345"/>
              <w:rPr>
                <w:rFonts w:ascii="Century Gothic" w:hAnsi="Century Gothic"/>
                <w:b/>
                <w:sz w:val="36"/>
                <w:szCs w:val="36"/>
              </w:rPr>
            </w:pPr>
            <w:r w:rsidRPr="007A7D18">
              <w:rPr>
                <w:rFonts w:ascii="Century Gothic" w:hAnsi="Century Gothic"/>
                <w:b/>
                <w:sz w:val="36"/>
                <w:szCs w:val="36"/>
              </w:rPr>
              <w:lastRenderedPageBreak/>
              <w:t>Individual School Support</w:t>
            </w:r>
          </w:p>
          <w:p w14:paraId="6E5E35C1" w14:textId="74C7F1C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</w:rPr>
              <w:t xml:space="preserve">There </w:t>
            </w:r>
            <w:r w:rsidR="00334AC1">
              <w:rPr>
                <w:rFonts w:ascii="Century Gothic" w:hAnsi="Century Gothic"/>
              </w:rPr>
              <w:t>is</w:t>
            </w:r>
            <w:r w:rsidRPr="00334AC1">
              <w:rPr>
                <w:rFonts w:ascii="Century Gothic" w:hAnsi="Century Gothic"/>
              </w:rPr>
              <w:t xml:space="preserve"> additional funding for enrichment at </w:t>
            </w:r>
            <w:r w:rsidRPr="00334AC1">
              <w:rPr>
                <w:rFonts w:ascii="Century Gothic" w:hAnsi="Century Gothic"/>
                <w:u w:val="single"/>
              </w:rPr>
              <w:t>individual schools</w:t>
            </w:r>
            <w:r w:rsidRPr="00334AC1">
              <w:rPr>
                <w:rFonts w:ascii="Century Gothic" w:hAnsi="Century Gothic"/>
              </w:rPr>
              <w:t xml:space="preserve">. These organizations provide opportunities when state funding cannot be used and/or there is not enough funding. These opportunities are </w:t>
            </w:r>
            <w:r w:rsidRPr="00334AC1">
              <w:rPr>
                <w:rFonts w:ascii="Century Gothic" w:hAnsi="Century Gothic"/>
                <w:u w:val="single"/>
              </w:rPr>
              <w:t xml:space="preserve">unique </w:t>
            </w:r>
            <w:r w:rsidR="00334AC1" w:rsidRPr="00334AC1">
              <w:rPr>
                <w:rFonts w:ascii="Century Gothic" w:hAnsi="Century Gothic"/>
                <w:u w:val="single"/>
              </w:rPr>
              <w:t>to</w:t>
            </w:r>
            <w:r w:rsidRPr="00334AC1">
              <w:rPr>
                <w:rFonts w:ascii="Century Gothic" w:hAnsi="Century Gothic"/>
                <w:u w:val="single"/>
              </w:rPr>
              <w:t xml:space="preserve"> each school</w:t>
            </w:r>
            <w:r w:rsidRPr="00334AC1">
              <w:rPr>
                <w:rFonts w:ascii="Century Gothic" w:hAnsi="Century Gothic"/>
              </w:rPr>
              <w:t>.</w:t>
            </w:r>
          </w:p>
          <w:p w14:paraId="2F4117AA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  <w:b/>
              </w:rPr>
            </w:pPr>
          </w:p>
          <w:p w14:paraId="6F35939F" w14:textId="61D0B782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  <w:b/>
              </w:rPr>
              <w:t>PTA/PTSA</w:t>
            </w:r>
            <w:r w:rsidRPr="00334AC1">
              <w:rPr>
                <w:rFonts w:ascii="Century Gothic" w:hAnsi="Century Gothic"/>
              </w:rPr>
              <w:t xml:space="preserve"> Parent Teacher Student Association</w:t>
            </w:r>
            <w:r w:rsidR="00334AC1">
              <w:rPr>
                <w:rFonts w:ascii="Century Gothic" w:hAnsi="Century Gothic"/>
              </w:rPr>
              <w:t>.</w:t>
            </w:r>
            <w:r w:rsidRPr="00334AC1">
              <w:rPr>
                <w:rFonts w:ascii="Century Gothic" w:hAnsi="Century Gothic"/>
              </w:rPr>
              <w:t xml:space="preserve">  PTAs raise money to fund progra</w:t>
            </w:r>
            <w:r w:rsidR="00802D8D">
              <w:rPr>
                <w:rFonts w:ascii="Century Gothic" w:hAnsi="Century Gothic"/>
              </w:rPr>
              <w:t>ms that provide</w:t>
            </w:r>
            <w:r w:rsidRPr="00334AC1">
              <w:rPr>
                <w:rFonts w:ascii="Century Gothic" w:hAnsi="Century Gothic"/>
              </w:rPr>
              <w:t xml:space="preserve"> schools with literacy/art/science enrichment, staff classroom needs and curriculum support, student recognition, staff appreciation, </w:t>
            </w:r>
            <w:r w:rsidR="00AF45D3">
              <w:rPr>
                <w:rFonts w:ascii="Century Gothic" w:hAnsi="Century Gothic"/>
              </w:rPr>
              <w:t>family and</w:t>
            </w:r>
            <w:r w:rsidRPr="00334AC1">
              <w:rPr>
                <w:rFonts w:ascii="Century Gothic" w:hAnsi="Century Gothic"/>
              </w:rPr>
              <w:t xml:space="preserve"> community events</w:t>
            </w:r>
            <w:r w:rsidR="00AF45D3">
              <w:rPr>
                <w:rFonts w:ascii="Century Gothic" w:hAnsi="Century Gothic"/>
              </w:rPr>
              <w:t>,</w:t>
            </w:r>
            <w:r w:rsidRPr="00334AC1">
              <w:rPr>
                <w:rFonts w:ascii="Century Gothic" w:hAnsi="Century Gothic"/>
              </w:rPr>
              <w:t xml:space="preserve"> and teacher grants.  </w:t>
            </w:r>
          </w:p>
          <w:p w14:paraId="756D23CF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</w:p>
          <w:p w14:paraId="7703AF83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  <w:r w:rsidRPr="00334AC1">
              <w:rPr>
                <w:rFonts w:ascii="Century Gothic" w:hAnsi="Century Gothic"/>
                <w:b/>
              </w:rPr>
              <w:t xml:space="preserve">ASB </w:t>
            </w:r>
            <w:r w:rsidRPr="00334AC1">
              <w:rPr>
                <w:rFonts w:ascii="Century Gothic" w:hAnsi="Century Gothic"/>
              </w:rPr>
              <w:t xml:space="preserve">Associated Student Body – ASBs raise money for optional, non-credit, extracurricular activities, including those that are cultural, athletic, recreational, or social in nature. ASB-funded events and programs include student recognition, all-school assemblies and dances. </w:t>
            </w:r>
          </w:p>
          <w:p w14:paraId="63712368" w14:textId="77777777" w:rsidR="007A5D12" w:rsidRPr="00334AC1" w:rsidRDefault="007A5D12" w:rsidP="00F34437">
            <w:pPr>
              <w:ind w:left="345"/>
              <w:rPr>
                <w:rFonts w:ascii="Century Gothic" w:hAnsi="Century Gothic"/>
              </w:rPr>
            </w:pPr>
          </w:p>
          <w:p w14:paraId="6D985A62" w14:textId="25E3E499" w:rsidR="000A3551" w:rsidRDefault="007A5D12" w:rsidP="00F34437">
            <w:pPr>
              <w:ind w:left="345"/>
              <w:rPr>
                <w:rFonts w:ascii="Century Gothic" w:hAnsi="Century Gothic"/>
                <w:sz w:val="20"/>
                <w:szCs w:val="20"/>
              </w:rPr>
            </w:pPr>
            <w:r w:rsidRPr="00334AC1">
              <w:rPr>
                <w:rFonts w:ascii="Century Gothic" w:hAnsi="Century Gothic"/>
                <w:b/>
              </w:rPr>
              <w:t>Booster Clubs</w:t>
            </w:r>
            <w:r w:rsidRPr="00334AC1">
              <w:rPr>
                <w:rFonts w:ascii="Century Gothic" w:hAnsi="Century Gothic"/>
              </w:rPr>
              <w:t xml:space="preserve"> - Booster clubs are high school specific, driven by parent leadership and parent fund-raising </w:t>
            </w:r>
            <w:r w:rsidRPr="00334AC1">
              <w:rPr>
                <w:rFonts w:ascii="Century Gothic" w:hAnsi="Century Gothic"/>
              </w:rPr>
              <w:lastRenderedPageBreak/>
              <w:t>activities.  Booster Clubs help all student co-curricular activities including clubs, activities and sports programs</w:t>
            </w:r>
            <w:r w:rsidRPr="00B43252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08BCD261" w14:textId="333F6431" w:rsidR="00CB35D8" w:rsidRDefault="004A522C" w:rsidP="00F34437">
            <w:pPr>
              <w:ind w:left="345"/>
              <w:rPr>
                <w:rFonts w:ascii="Century Gothic" w:hAnsi="Century Gothic"/>
                <w:sz w:val="20"/>
                <w:szCs w:val="20"/>
              </w:rPr>
            </w:pPr>
            <w:r w:rsidRPr="000F6E2F"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6CE8B46" wp14:editId="43405435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332105</wp:posOffset>
                      </wp:positionV>
                      <wp:extent cx="3905250" cy="3388360"/>
                      <wp:effectExtent l="0" t="0" r="19050" b="2159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05250" cy="3388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95000"/>
                                  <a:lumOff val="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8CB0E7" w14:textId="7A188B9A" w:rsidR="000F6E2F" w:rsidRPr="00D81CBB" w:rsidRDefault="000F6E2F" w:rsidP="004A522C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</w:pPr>
                                  <w:r w:rsidRPr="00D81CBB">
                                    <w:rPr>
                                      <w:rFonts w:ascii="Century Gothic" w:hAnsi="Century Gothic"/>
                                      <w:color w:val="FFFFFF" w:themeColor="background1"/>
                                      <w:sz w:val="80"/>
                                      <w:szCs w:val="80"/>
                                    </w:rPr>
                                    <w:t>HOW ARE ISSAQUAH DISTRICT SCHOOLS FUNDED?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E8B4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8.6pt;margin-top:26.15pt;width:307.5pt;height:26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" fillcolor="#0d0d0d [3069]">
                      <v:textbox>
                        <w:txbxContent>
                          <w:p w14:paraId="4B8CB0E7" w14:textId="7A188B9A" w:rsidR="000F6E2F" w:rsidRPr="00D81CBB" w:rsidRDefault="000F6E2F" w:rsidP="004A522C">
                            <w:pPr>
                              <w:jc w:val="center"/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D81CBB">
                              <w:rPr>
                                <w:rFonts w:ascii="Century Gothic" w:hAnsi="Century Gothic"/>
                                <w:color w:val="FFFFFF" w:themeColor="background1"/>
                                <w:sz w:val="80"/>
                                <w:szCs w:val="80"/>
                              </w:rPr>
                              <w:t>HOW ARE ISSAQUAH DISTRICT SCHOOLS FUNDED?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03D8D2" w14:textId="2CDD3EE4" w:rsidR="00BE0339" w:rsidRDefault="00630AA2" w:rsidP="00F34437">
            <w:pPr>
              <w:ind w:left="345" w:right="345"/>
              <w:rPr>
                <w:rFonts w:ascii="Century Gothic" w:hAnsi="Century Gothic"/>
                <w:sz w:val="24"/>
                <w:szCs w:val="24"/>
              </w:rPr>
            </w:pPr>
            <w:r w:rsidRPr="004A522C">
              <w:rPr>
                <w:rFonts w:ascii="Century Gothic" w:hAnsi="Century Gothic"/>
                <w:sz w:val="24"/>
                <w:szCs w:val="24"/>
              </w:rPr>
              <w:t xml:space="preserve">Supporting students and providing the services they need requires a combination of funding from several sources. </w:t>
            </w:r>
            <w:r w:rsidR="00F72E9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A522C">
              <w:rPr>
                <w:rFonts w:ascii="Century Gothic" w:hAnsi="Century Gothic"/>
                <w:sz w:val="24"/>
                <w:szCs w:val="24"/>
              </w:rPr>
              <w:t>The Issaquah School District, Issaquah Schools Foundation, and PTA/PTSAs in our communities work together to provide the best opportunities possible for all students.</w:t>
            </w:r>
          </w:p>
          <w:p w14:paraId="594A1F4F" w14:textId="57C77D02" w:rsidR="00A3441B" w:rsidRDefault="00A3441B" w:rsidP="00F34437">
            <w:pPr>
              <w:ind w:left="345" w:right="345"/>
              <w:rPr>
                <w:rFonts w:ascii="Century Gothic" w:hAnsi="Century Gothic"/>
                <w:sz w:val="24"/>
                <w:szCs w:val="24"/>
              </w:rPr>
            </w:pPr>
          </w:p>
          <w:p w14:paraId="16F1F165" w14:textId="3EC26A00" w:rsidR="00A3441B" w:rsidRDefault="00A3441B" w:rsidP="00F34437">
            <w:pPr>
              <w:ind w:left="345" w:right="345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660288" behindDoc="0" locked="0" layoutInCell="1" allowOverlap="1" wp14:anchorId="081F881C" wp14:editId="010450E0">
                  <wp:simplePos x="0" y="0"/>
                  <wp:positionH relativeFrom="margin">
                    <wp:posOffset>1104900</wp:posOffset>
                  </wp:positionH>
                  <wp:positionV relativeFrom="margin">
                    <wp:posOffset>5191125</wp:posOffset>
                  </wp:positionV>
                  <wp:extent cx="2020570" cy="80962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SD Logo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7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B6C310B" w14:textId="77777777" w:rsidR="00A3441B" w:rsidRDefault="00A3441B" w:rsidP="00F34437">
            <w:pPr>
              <w:ind w:left="345" w:right="345"/>
              <w:rPr>
                <w:rFonts w:ascii="Century Gothic" w:hAnsi="Century Gothic"/>
                <w:sz w:val="24"/>
                <w:szCs w:val="24"/>
              </w:rPr>
            </w:pPr>
          </w:p>
          <w:p w14:paraId="649FF267" w14:textId="7911712F" w:rsidR="00AE3D87" w:rsidRPr="00CB35D8" w:rsidRDefault="00BE0339" w:rsidP="00194BBB">
            <w:pPr>
              <w:ind w:left="345" w:right="345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7BCD4E3" wp14:editId="22DC79AE">
                  <wp:extent cx="1771650" cy="81915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 w:rsidR="00194BBB"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C813DC">
              <w:rPr>
                <w:rFonts w:ascii="Century Gothic" w:hAnsi="Century Gothic"/>
                <w:sz w:val="32"/>
                <w:szCs w:val="32"/>
              </w:rPr>
              <w:t xml:space="preserve">    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CF97F51" wp14:editId="37B783C7">
                  <wp:extent cx="1485900" cy="796496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831" cy="800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BFAAFD" w14:textId="428F9EAC" w:rsidR="00802D8D" w:rsidRPr="00E101EF" w:rsidRDefault="00802D8D" w:rsidP="00F34437">
            <w:pPr>
              <w:ind w:left="345"/>
              <w:rPr>
                <w:rFonts w:ascii="Century Gothic" w:hAnsi="Century Gothic"/>
              </w:rPr>
            </w:pPr>
          </w:p>
        </w:tc>
      </w:tr>
    </w:tbl>
    <w:p w14:paraId="355A0A9F" w14:textId="76BCEE2D" w:rsidR="006E3586" w:rsidRPr="00E101EF" w:rsidRDefault="006E3586" w:rsidP="00A3441B">
      <w:pPr>
        <w:spacing w:after="0"/>
        <w:rPr>
          <w:rFonts w:ascii="Century Gothic" w:hAnsi="Century Gothic"/>
        </w:rPr>
      </w:pPr>
    </w:p>
    <w:sectPr w:rsidR="006E3586" w:rsidRPr="00E101EF" w:rsidSect="00365B77">
      <w:pgSz w:w="15840" w:h="12240" w:orient="landscape"/>
      <w:pgMar w:top="432" w:right="720" w:bottom="432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4DE38" w14:textId="77777777" w:rsidR="00EA593B" w:rsidRDefault="00EA593B" w:rsidP="007A242B">
      <w:pPr>
        <w:spacing w:after="0" w:line="240" w:lineRule="auto"/>
      </w:pPr>
      <w:r>
        <w:separator/>
      </w:r>
    </w:p>
  </w:endnote>
  <w:endnote w:type="continuationSeparator" w:id="0">
    <w:p w14:paraId="5DF08031" w14:textId="77777777" w:rsidR="00EA593B" w:rsidRDefault="00EA593B" w:rsidP="007A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F0A9F" w14:textId="77777777" w:rsidR="00EA593B" w:rsidRDefault="00EA593B" w:rsidP="007A242B">
      <w:pPr>
        <w:spacing w:after="0" w:line="240" w:lineRule="auto"/>
      </w:pPr>
      <w:r>
        <w:separator/>
      </w:r>
    </w:p>
  </w:footnote>
  <w:footnote w:type="continuationSeparator" w:id="0">
    <w:p w14:paraId="718A8F82" w14:textId="77777777" w:rsidR="00EA593B" w:rsidRDefault="00EA593B" w:rsidP="007A2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0F78"/>
    <w:multiLevelType w:val="hybridMultilevel"/>
    <w:tmpl w:val="5FF6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59F8"/>
    <w:multiLevelType w:val="hybridMultilevel"/>
    <w:tmpl w:val="779AD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814E6"/>
    <w:multiLevelType w:val="hybridMultilevel"/>
    <w:tmpl w:val="F22E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6CA2"/>
    <w:multiLevelType w:val="hybridMultilevel"/>
    <w:tmpl w:val="98EE6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C4521"/>
    <w:multiLevelType w:val="hybridMultilevel"/>
    <w:tmpl w:val="A35A5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74CF4"/>
    <w:multiLevelType w:val="hybridMultilevel"/>
    <w:tmpl w:val="E296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55FF2"/>
    <w:multiLevelType w:val="hybridMultilevel"/>
    <w:tmpl w:val="1A6A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C41CF"/>
    <w:multiLevelType w:val="hybridMultilevel"/>
    <w:tmpl w:val="CF0A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F2787"/>
    <w:multiLevelType w:val="hybridMultilevel"/>
    <w:tmpl w:val="3ED0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1EF"/>
    <w:rsid w:val="000A3551"/>
    <w:rsid w:val="000B7A55"/>
    <w:rsid w:val="000C5351"/>
    <w:rsid w:val="000F6E2F"/>
    <w:rsid w:val="00194BBB"/>
    <w:rsid w:val="001B0371"/>
    <w:rsid w:val="001B57D6"/>
    <w:rsid w:val="00222D48"/>
    <w:rsid w:val="00234D40"/>
    <w:rsid w:val="00241645"/>
    <w:rsid w:val="00331641"/>
    <w:rsid w:val="00334AC1"/>
    <w:rsid w:val="00365B77"/>
    <w:rsid w:val="004176C9"/>
    <w:rsid w:val="00425CAB"/>
    <w:rsid w:val="00440946"/>
    <w:rsid w:val="004A522C"/>
    <w:rsid w:val="00504C77"/>
    <w:rsid w:val="0053070A"/>
    <w:rsid w:val="00592137"/>
    <w:rsid w:val="005D5BD3"/>
    <w:rsid w:val="00630AA2"/>
    <w:rsid w:val="006E3586"/>
    <w:rsid w:val="007A242B"/>
    <w:rsid w:val="007A5D12"/>
    <w:rsid w:val="007A7D18"/>
    <w:rsid w:val="00802D8D"/>
    <w:rsid w:val="0081765C"/>
    <w:rsid w:val="00895CB9"/>
    <w:rsid w:val="00897965"/>
    <w:rsid w:val="008B68B8"/>
    <w:rsid w:val="00975565"/>
    <w:rsid w:val="009A647A"/>
    <w:rsid w:val="009C45D4"/>
    <w:rsid w:val="00A24A90"/>
    <w:rsid w:val="00A3441B"/>
    <w:rsid w:val="00AA0B30"/>
    <w:rsid w:val="00AC206B"/>
    <w:rsid w:val="00AE3D87"/>
    <w:rsid w:val="00AF45D3"/>
    <w:rsid w:val="00AF58FB"/>
    <w:rsid w:val="00B1548B"/>
    <w:rsid w:val="00B2383B"/>
    <w:rsid w:val="00B43252"/>
    <w:rsid w:val="00B7366C"/>
    <w:rsid w:val="00BE0339"/>
    <w:rsid w:val="00C419EC"/>
    <w:rsid w:val="00C813DC"/>
    <w:rsid w:val="00CB35D8"/>
    <w:rsid w:val="00CC6300"/>
    <w:rsid w:val="00D81CBB"/>
    <w:rsid w:val="00E101EF"/>
    <w:rsid w:val="00E5685A"/>
    <w:rsid w:val="00EA593B"/>
    <w:rsid w:val="00EB4E42"/>
    <w:rsid w:val="00ED64C7"/>
    <w:rsid w:val="00F34437"/>
    <w:rsid w:val="00F46F46"/>
    <w:rsid w:val="00F72104"/>
    <w:rsid w:val="00F72E97"/>
    <w:rsid w:val="00F93A7D"/>
    <w:rsid w:val="00FA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7086"/>
  <w15:chartTrackingRefBased/>
  <w15:docId w15:val="{3C767A19-C52F-46E6-B075-999A1BA0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42B"/>
  </w:style>
  <w:style w:type="paragraph" w:styleId="Footer">
    <w:name w:val="footer"/>
    <w:basedOn w:val="Normal"/>
    <w:link w:val="FooterChar"/>
    <w:uiPriority w:val="99"/>
    <w:unhideWhenUsed/>
    <w:rsid w:val="007A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42B"/>
  </w:style>
  <w:style w:type="character" w:styleId="Hyperlink">
    <w:name w:val="Hyperlink"/>
    <w:basedOn w:val="DefaultParagraphFont"/>
    <w:uiPriority w:val="99"/>
    <w:unhideWhenUsed/>
    <w:rsid w:val="00AC20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06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sfdn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ssaquahptsa.org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0C931-5F33-4AB4-996D-B838F61DAD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22C851-070A-466F-9067-69E7BB12F5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7E68AE-6FFD-409F-B483-648A88EC66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9354EA-3506-4037-83CD-29DF60917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Kennedy</dc:creator>
  <cp:keywords/>
  <dc:description/>
  <cp:lastModifiedBy>Carolyn Kennedy</cp:lastModifiedBy>
  <cp:revision>32</cp:revision>
  <cp:lastPrinted>2019-09-03T18:51:00Z</cp:lastPrinted>
  <dcterms:created xsi:type="dcterms:W3CDTF">2019-08-14T17:36:00Z</dcterms:created>
  <dcterms:modified xsi:type="dcterms:W3CDTF">2019-09-03T19:19:00Z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