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393A" w14:textId="05C9A365" w:rsidR="009C2610" w:rsidRDefault="00AC6FF9" w:rsidP="009C2610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9C2610">
        <w:rPr>
          <w:rFonts w:ascii="Century Gothic" w:hAnsi="Century Gothic"/>
          <w:b/>
          <w:bCs/>
          <w:sz w:val="32"/>
          <w:szCs w:val="32"/>
        </w:rPr>
        <w:t>Cougar Mountain Middle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526D429F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9C261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Cougar Mountain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A91C2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21</w:t>
            </w:r>
          </w:p>
        </w:tc>
      </w:tr>
      <w:tr w:rsidR="001843F0" w:rsidRPr="001843F0" w14:paraId="28F68FA5" w14:textId="77777777" w:rsidTr="00A91C24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FB0C" w14:textId="5151B3C8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C709" w14:textId="202D3EDF" w:rsidR="001843F0" w:rsidRPr="001843F0" w:rsidRDefault="00A91C24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Coming Soon! </w:t>
            </w:r>
            <w:r>
              <w:rPr>
                <w:rFonts w:ascii="Century Gothic" w:eastAsia="Times New Roman" w:hAnsi="Century Gothic" w:cs="Calibri"/>
                <w:color w:val="000000"/>
              </w:rPr>
              <w:br/>
            </w:r>
            <w:r w:rsidR="009C2610">
              <w:rPr>
                <w:rFonts w:ascii="Century Gothic" w:eastAsia="Times New Roman" w:hAnsi="Century Gothic" w:cs="Calibri"/>
                <w:color w:val="000000"/>
              </w:rPr>
              <w:t>Cougar Mountain will open its doors in late 2021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 and so the first grants teachers will be able to apply for will be awarded in January 2022.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36F8" w14:textId="77777777" w:rsidR="00265BA0" w:rsidRDefault="00265BA0" w:rsidP="00527779">
      <w:pPr>
        <w:spacing w:after="0" w:line="240" w:lineRule="auto"/>
      </w:pPr>
      <w:r>
        <w:separator/>
      </w:r>
    </w:p>
  </w:endnote>
  <w:endnote w:type="continuationSeparator" w:id="0">
    <w:p w14:paraId="5FAFB5DA" w14:textId="77777777" w:rsidR="00265BA0" w:rsidRDefault="00265BA0" w:rsidP="00527779">
      <w:pPr>
        <w:spacing w:after="0" w:line="240" w:lineRule="auto"/>
      </w:pPr>
      <w:r>
        <w:continuationSeparator/>
      </w:r>
    </w:p>
  </w:endnote>
  <w:endnote w:type="continuationNotice" w:id="1">
    <w:p w14:paraId="2335FE90" w14:textId="77777777" w:rsidR="00265BA0" w:rsidRDefault="00265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D38E" w14:textId="77777777" w:rsidR="00265BA0" w:rsidRDefault="00265BA0" w:rsidP="00527779">
      <w:pPr>
        <w:spacing w:after="0" w:line="240" w:lineRule="auto"/>
      </w:pPr>
      <w:r>
        <w:separator/>
      </w:r>
    </w:p>
  </w:footnote>
  <w:footnote w:type="continuationSeparator" w:id="0">
    <w:p w14:paraId="7EED85A4" w14:textId="77777777" w:rsidR="00265BA0" w:rsidRDefault="00265BA0" w:rsidP="00527779">
      <w:pPr>
        <w:spacing w:after="0" w:line="240" w:lineRule="auto"/>
      </w:pPr>
      <w:r>
        <w:continuationSeparator/>
      </w:r>
    </w:p>
  </w:footnote>
  <w:footnote w:type="continuationNotice" w:id="1">
    <w:p w14:paraId="47DC1AA6" w14:textId="77777777" w:rsidR="00265BA0" w:rsidRDefault="00265B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65BA0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6E3F4B"/>
    <w:rsid w:val="00751F2B"/>
    <w:rsid w:val="0076372D"/>
    <w:rsid w:val="00775501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C2610"/>
    <w:rsid w:val="009F39C5"/>
    <w:rsid w:val="009F715B"/>
    <w:rsid w:val="00A053F2"/>
    <w:rsid w:val="00A10473"/>
    <w:rsid w:val="00A34BAD"/>
    <w:rsid w:val="00A51AC4"/>
    <w:rsid w:val="00A91C2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2</cp:revision>
  <cp:lastPrinted>2018-09-27T18:15:00Z</cp:lastPrinted>
  <dcterms:created xsi:type="dcterms:W3CDTF">2021-10-13T20:27:00Z</dcterms:created>
  <dcterms:modified xsi:type="dcterms:W3CDTF">2021-10-13T20:27:00Z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